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B00F1" w14:textId="0E0A325E" w:rsidR="009A0127" w:rsidRDefault="009A0127" w:rsidP="009A0127">
      <w:pPr>
        <w:rPr>
          <w:b/>
          <w:bCs/>
        </w:rPr>
      </w:pPr>
      <w:r w:rsidRPr="000874A8">
        <w:rPr>
          <w:b/>
          <w:bCs/>
        </w:rPr>
        <w:t>Verksamhetsberättelse 2024-01-01 till 2024-12-31</w:t>
      </w:r>
      <w:r>
        <w:rPr>
          <w:b/>
          <w:bCs/>
        </w:rPr>
        <w:t xml:space="preserve"> </w:t>
      </w:r>
    </w:p>
    <w:p w14:paraId="4B449468" w14:textId="77777777" w:rsidR="009A0127" w:rsidRDefault="009A0127" w:rsidP="009A0127">
      <w:pPr>
        <w:rPr>
          <w:b/>
          <w:bCs/>
        </w:rPr>
      </w:pPr>
    </w:p>
    <w:p w14:paraId="51969D60" w14:textId="77777777" w:rsidR="009A0127" w:rsidRPr="000874A8" w:rsidRDefault="009A0127" w:rsidP="009A0127">
      <w:pPr>
        <w:rPr>
          <w:b/>
          <w:bCs/>
        </w:rPr>
      </w:pPr>
    </w:p>
    <w:p w14:paraId="406FCAF5" w14:textId="77777777" w:rsidR="009A0127" w:rsidRPr="000874A8" w:rsidRDefault="009A0127" w:rsidP="009A0127">
      <w:r w:rsidRPr="000874A8">
        <w:t xml:space="preserve">Fiskekommunerna har under verksamhetsåret följt syftet som finns beskrivet i projektet som medfinansieras </w:t>
      </w:r>
      <w:proofErr w:type="gramStart"/>
      <w:r w:rsidRPr="000874A8">
        <w:t>2024-2026</w:t>
      </w:r>
      <w:proofErr w:type="gramEnd"/>
      <w:r w:rsidRPr="000874A8">
        <w:t xml:space="preserve"> av medlemskommunerna samt miljö och regionutvecklingsnämnden i Västra Götalandsregionen (VGR): ”Fiskekommunerna – ett kommunalt nätverk i väst för fiske och vattenbruk”. </w:t>
      </w:r>
    </w:p>
    <w:p w14:paraId="63786B24" w14:textId="77777777" w:rsidR="009A0127" w:rsidRDefault="009A0127" w:rsidP="009A0127">
      <w:pPr>
        <w:rPr>
          <w:b/>
          <w:bCs/>
        </w:rPr>
      </w:pPr>
    </w:p>
    <w:p w14:paraId="1BC9F5B1" w14:textId="1A20480A" w:rsidR="009A0127" w:rsidRPr="000874A8" w:rsidRDefault="009A0127" w:rsidP="009A0127">
      <w:pPr>
        <w:rPr>
          <w:b/>
          <w:bCs/>
        </w:rPr>
      </w:pPr>
      <w:r w:rsidRPr="000874A8">
        <w:rPr>
          <w:b/>
          <w:bCs/>
        </w:rPr>
        <w:t>Sammanfattning</w:t>
      </w:r>
    </w:p>
    <w:p w14:paraId="2DE3553A" w14:textId="77777777" w:rsidR="009A0127" w:rsidRPr="000874A8" w:rsidRDefault="009A0127" w:rsidP="009A0127">
      <w:r w:rsidRPr="000874A8">
        <w:t xml:space="preserve">Fiskekommunerna är ett kommunalt nätverk med regionalt stöd med övergripande mål </w:t>
      </w:r>
      <w:r w:rsidRPr="000874A8">
        <w:rPr>
          <w:i/>
          <w:iCs/>
        </w:rPr>
        <w:t xml:space="preserve">ett hållbart hav och levande kust och skärgård. </w:t>
      </w:r>
      <w:r w:rsidRPr="000874A8">
        <w:t xml:space="preserve">Nätverket verkar för att stärka den blå näringen, fritidsfiske, yrkesfiske och vattenbruk och ge näringarna förutsättningar att utvecklas hållbart, långsiktigt och robust. Genom ett värdefullt dialog-, och påverkansarbete utifrån ett kommunalt perspektiv verkar nätverket mot mål och syfte. </w:t>
      </w:r>
    </w:p>
    <w:p w14:paraId="05496851" w14:textId="77777777" w:rsidR="009A0127" w:rsidRPr="000874A8" w:rsidRDefault="009A0127" w:rsidP="009A0127">
      <w:r w:rsidRPr="000874A8">
        <w:t>Nätverket FK innebär ett starkt stöd och resurs för kommunerna att ha en hög kompetens inom fiske och vattenbruk. Kompetens ger fördelar för lokala blå aktörer samt ett verktyg att stärka den blå värdekedjan längs Bohuskusten.</w:t>
      </w:r>
      <w:r w:rsidRPr="000874A8">
        <w:rPr>
          <w:color w:val="FF0000"/>
        </w:rPr>
        <w:t xml:space="preserve"> </w:t>
      </w:r>
      <w:r w:rsidRPr="000874A8">
        <w:t xml:space="preserve">En gemensam röst för fiske och vattenbruksnäringen för tydligare kommunikation i aktuella frågor. Fiskekommunerna är en etablerad remissinstans till berörda myndigheter, främst Havs- och vattenmyndigheten, men även andra myndigheter inom FK:s område (ex. Regeringskansliet, Jordbruksverket, Naturvårdsverket och Länsstyrelsen). Under 2024 har </w:t>
      </w:r>
      <w:r>
        <w:t>5</w:t>
      </w:r>
      <w:r w:rsidRPr="000874A8">
        <w:t xml:space="preserve"> yttranden och remissvar skickats samt en skrivelse.  </w:t>
      </w:r>
    </w:p>
    <w:p w14:paraId="7F584675" w14:textId="77777777" w:rsidR="009A0127" w:rsidRDefault="009A0127" w:rsidP="009A0127">
      <w:pPr>
        <w:rPr>
          <w:b/>
          <w:bCs/>
        </w:rPr>
      </w:pPr>
    </w:p>
    <w:p w14:paraId="6C33A186" w14:textId="1DB3372C" w:rsidR="009A0127" w:rsidRPr="000874A8" w:rsidRDefault="009A0127" w:rsidP="009A0127">
      <w:pPr>
        <w:rPr>
          <w:b/>
          <w:bCs/>
        </w:rPr>
      </w:pPr>
      <w:r w:rsidRPr="000874A8">
        <w:rPr>
          <w:b/>
          <w:bCs/>
        </w:rPr>
        <w:t>Fiskekommunernas sammansättning och administration</w:t>
      </w:r>
    </w:p>
    <w:p w14:paraId="13C87111" w14:textId="7893EE89" w:rsidR="009A0127" w:rsidRDefault="009A0127" w:rsidP="009A0127">
      <w:r w:rsidRPr="000874A8">
        <w:t>Nätverket består av 9 kustkommuner vilka representeras av en tjänsteperson och en förtroendevald från respektive kommun</w:t>
      </w:r>
      <w:r w:rsidRPr="000874A8">
        <w:rPr>
          <w:color w:val="FF0000"/>
        </w:rPr>
        <w:t xml:space="preserve">. </w:t>
      </w:r>
      <w:r w:rsidRPr="000874A8">
        <w:t>Ordförande för året har varit Lars Tysklind och vice ordförande Jan-Olof Larsson. En remiss-, kommunikationsgrupp tillsätts varje halvår med roterande representanter vilka bär ansvar för framtagandet av remissyttranden, skrivelser och kommunikation tillsammans med processledare och ordförande samt vid behov även extern konsult. Första halvåret ingick och Orust och Tanum i remiss-, kommunikationsgruppen, andra halvåret roterade representanterna till Sotenäs och Strömstad. Representanter (tjänsteperson, förtroendevald) från kommunerna för 2024 var följande:</w:t>
      </w:r>
    </w:p>
    <w:p w14:paraId="3C2485D4" w14:textId="77777777" w:rsidR="009A0127" w:rsidRPr="000874A8" w:rsidRDefault="009A0127" w:rsidP="009A0127"/>
    <w:p w14:paraId="0BA6557F" w14:textId="77777777" w:rsidR="009A0127" w:rsidRPr="000874A8" w:rsidRDefault="009A0127" w:rsidP="009A0127">
      <w:r w:rsidRPr="000874A8">
        <w:t xml:space="preserve">Strömstad: Michael Olsson, Lars Tysklind </w:t>
      </w:r>
    </w:p>
    <w:p w14:paraId="072AA515" w14:textId="77777777" w:rsidR="009A0127" w:rsidRPr="000874A8" w:rsidRDefault="009A0127" w:rsidP="009A0127">
      <w:r w:rsidRPr="000874A8">
        <w:t xml:space="preserve">Tanum: Jenny Åslund, Hans Schub </w:t>
      </w:r>
    </w:p>
    <w:p w14:paraId="0A0BD619" w14:textId="77777777" w:rsidR="009A0127" w:rsidRPr="000874A8" w:rsidRDefault="009A0127" w:rsidP="009A0127">
      <w:r w:rsidRPr="000874A8">
        <w:t xml:space="preserve">Sotenäs: Diana Öhrberg, Jan-Olof Larsson </w:t>
      </w:r>
    </w:p>
    <w:p w14:paraId="03212ACB" w14:textId="5D0E91F9" w:rsidR="009A0127" w:rsidRPr="009D0E2E" w:rsidRDefault="009A0127" w:rsidP="009A0127">
      <w:pPr>
        <w:rPr>
          <w:lang w:val="nb-NO"/>
        </w:rPr>
      </w:pPr>
      <w:r w:rsidRPr="009D0E2E">
        <w:rPr>
          <w:lang w:val="nb-NO"/>
        </w:rPr>
        <w:t>Lysekil: Anne Gunnäs (tom. Aug.)</w:t>
      </w:r>
      <w:r>
        <w:rPr>
          <w:lang w:val="nb-NO"/>
        </w:rPr>
        <w:t xml:space="preserve"> </w:t>
      </w:r>
      <w:proofErr w:type="spellStart"/>
      <w:r>
        <w:rPr>
          <w:lang w:val="nb-NO"/>
        </w:rPr>
        <w:t>ersätts</w:t>
      </w:r>
      <w:proofErr w:type="spellEnd"/>
      <w:r>
        <w:rPr>
          <w:lang w:val="nb-NO"/>
        </w:rPr>
        <w:t xml:space="preserve"> av Ellinor Jensen</w:t>
      </w:r>
      <w:r w:rsidRPr="009D0E2E">
        <w:rPr>
          <w:lang w:val="nb-NO"/>
        </w:rPr>
        <w:t xml:space="preserve">, Susanne Baden Pihl </w:t>
      </w:r>
    </w:p>
    <w:p w14:paraId="2A735995" w14:textId="77777777" w:rsidR="009A0127" w:rsidRPr="000874A8" w:rsidRDefault="009A0127" w:rsidP="009A0127">
      <w:r w:rsidRPr="000874A8">
        <w:t xml:space="preserve">Uddevalla: Vakant, Lars-Olof Axelsson </w:t>
      </w:r>
    </w:p>
    <w:p w14:paraId="26406693" w14:textId="77777777" w:rsidR="009A0127" w:rsidRPr="000874A8" w:rsidRDefault="009A0127" w:rsidP="009A0127">
      <w:r w:rsidRPr="000874A8">
        <w:t xml:space="preserve">Orust: Ronny Svensson, Anders Arnell </w:t>
      </w:r>
    </w:p>
    <w:p w14:paraId="0FABDDC9" w14:textId="77777777" w:rsidR="009A0127" w:rsidRPr="000874A8" w:rsidRDefault="009A0127" w:rsidP="009A0127">
      <w:r w:rsidRPr="000874A8">
        <w:t xml:space="preserve">Tjörn: Anna Aldegren, Rolf Persson </w:t>
      </w:r>
    </w:p>
    <w:p w14:paraId="4F682D54" w14:textId="77777777" w:rsidR="009A0127" w:rsidRPr="000874A8" w:rsidRDefault="009A0127" w:rsidP="009A0127">
      <w:r w:rsidRPr="000874A8">
        <w:t xml:space="preserve">Öckerö: Jan Svensson, Jan Utbult </w:t>
      </w:r>
    </w:p>
    <w:p w14:paraId="6A9FCA07" w14:textId="38DA3C3E" w:rsidR="009A0127" w:rsidRPr="000874A8" w:rsidRDefault="009A0127" w:rsidP="009A0127">
      <w:r w:rsidRPr="000874A8">
        <w:t xml:space="preserve">Göteborg: Madeleine </w:t>
      </w:r>
      <w:r>
        <w:t>Lilja</w:t>
      </w:r>
      <w:r w:rsidRPr="000874A8">
        <w:t xml:space="preserve">, Andreas Sjöö </w:t>
      </w:r>
    </w:p>
    <w:p w14:paraId="0F165892" w14:textId="77777777" w:rsidR="009A0127" w:rsidRDefault="009A0127" w:rsidP="009A0127">
      <w:r w:rsidRPr="000874A8">
        <w:t xml:space="preserve">VGR: Anders Carlberg, Eva Kristensson </w:t>
      </w:r>
    </w:p>
    <w:p w14:paraId="4203275F" w14:textId="77777777" w:rsidR="009A0127" w:rsidRPr="000874A8" w:rsidRDefault="009A0127" w:rsidP="009A0127"/>
    <w:p w14:paraId="67508D56" w14:textId="77777777" w:rsidR="009A0127" w:rsidRPr="000874A8" w:rsidRDefault="009A0127" w:rsidP="009A0127">
      <w:r w:rsidRPr="000874A8">
        <w:t>Enligt överenskommelse administreras nätverket av Fyrbodals kommunalförbund som administrerar nätverket med ekonomihantering, arbetsgivaransvar för processledartjänsten samt kontors- och möteslokaler. Anställd processledare har under året varit Amanda Gustafsson om 35 %.</w:t>
      </w:r>
    </w:p>
    <w:p w14:paraId="184B1435" w14:textId="77777777" w:rsidR="009A0127" w:rsidRPr="000874A8" w:rsidRDefault="009A0127" w:rsidP="009A0127"/>
    <w:p w14:paraId="1352E151" w14:textId="77777777" w:rsidR="009A0127" w:rsidRPr="000874A8" w:rsidRDefault="009A0127" w:rsidP="009A0127">
      <w:pPr>
        <w:rPr>
          <w:b/>
          <w:bCs/>
        </w:rPr>
      </w:pPr>
      <w:r w:rsidRPr="000874A8">
        <w:rPr>
          <w:b/>
          <w:bCs/>
        </w:rPr>
        <w:t>Samverkansparter</w:t>
      </w:r>
    </w:p>
    <w:p w14:paraId="6D9A8C68" w14:textId="77777777" w:rsidR="009A0127" w:rsidRPr="000874A8" w:rsidRDefault="009A0127" w:rsidP="009A0127">
      <w:r w:rsidRPr="000874A8">
        <w:lastRenderedPageBreak/>
        <w:t xml:space="preserve">Fiskekommunerna är en påverkansorganisation till förmån för hållbart fiske och vattenbruk och samverkar med främjande aktörer för blå näringar. Under 2024 har nätverket fortsatt samverka med berörda parter som Jordbruksverket, Innovatum Science Park, Landsbygdsnätverket, fiskets producentorganisationer, producentorganisationer för vattenbruk, Sjömatsfrämjandet och andra viktiga parter. Tillsammans med berörda forskningsaktörer som Göteborgs Universitet, RISE, SLU </w:t>
      </w:r>
      <w:proofErr w:type="gramStart"/>
      <w:r w:rsidRPr="000874A8">
        <w:t>etc.</w:t>
      </w:r>
      <w:proofErr w:type="gramEnd"/>
      <w:r w:rsidRPr="000874A8">
        <w:t xml:space="preserve"> stärks samverkan mellan det offentliga, näringsliv och forskning. Påverkansparter har varit Havs och Vattenmyndigheten men även andra berörda myndigheter samt förtroendevalda både nationellt, regionalt och lokalt.     </w:t>
      </w:r>
    </w:p>
    <w:p w14:paraId="5D096385" w14:textId="77777777" w:rsidR="009A0127" w:rsidRPr="000874A8" w:rsidRDefault="009A0127" w:rsidP="009A0127">
      <w:pPr>
        <w:rPr>
          <w:b/>
          <w:bCs/>
        </w:rPr>
      </w:pPr>
      <w:r w:rsidRPr="000874A8">
        <w:rPr>
          <w:b/>
          <w:bCs/>
        </w:rPr>
        <w:t xml:space="preserve">Aktiviteter 2023 </w:t>
      </w:r>
    </w:p>
    <w:p w14:paraId="4C3BDB54" w14:textId="77777777" w:rsidR="009A0127" w:rsidRPr="000874A8" w:rsidRDefault="009A0127" w:rsidP="009A0127">
      <w:pPr>
        <w:rPr>
          <w:b/>
          <w:bCs/>
        </w:rPr>
      </w:pPr>
      <w:r w:rsidRPr="000874A8">
        <w:rPr>
          <w:b/>
          <w:bCs/>
        </w:rPr>
        <w:t>Ledningsgruppsmöten</w:t>
      </w:r>
    </w:p>
    <w:p w14:paraId="2F5A0294" w14:textId="77777777" w:rsidR="009A0127" w:rsidRPr="000874A8" w:rsidRDefault="009A0127" w:rsidP="009A0127">
      <w:r w:rsidRPr="000874A8">
        <w:t xml:space="preserve">Under året har ledningsgruppen mötts 6 gånger inkluderat studiebesök. Nedan följer en sammanfattning av möten som ägt rum under året. </w:t>
      </w:r>
    </w:p>
    <w:p w14:paraId="2B21B22C" w14:textId="77777777" w:rsidR="009A0127" w:rsidRPr="000874A8" w:rsidRDefault="009A0127" w:rsidP="009A0127">
      <w:r w:rsidRPr="000874A8">
        <w:rPr>
          <w:b/>
          <w:bCs/>
        </w:rPr>
        <w:t xml:space="preserve"> Januarimötet </w:t>
      </w:r>
      <w:r w:rsidRPr="000874A8">
        <w:t>hölls i samband med Nordic Seafood summit – en mässa för hela sjömatsbranschen. Studiebesöket ägnades åt att ledningsgruppen gemensamt besökte mässan.</w:t>
      </w:r>
    </w:p>
    <w:p w14:paraId="46BD039F" w14:textId="77777777" w:rsidR="009A0127" w:rsidRPr="000874A8" w:rsidRDefault="009A0127" w:rsidP="009A0127">
      <w:r w:rsidRPr="000874A8">
        <w:t xml:space="preserve">I </w:t>
      </w:r>
      <w:r w:rsidRPr="000874A8">
        <w:rPr>
          <w:b/>
          <w:bCs/>
        </w:rPr>
        <w:t>m</w:t>
      </w:r>
      <w:r w:rsidRPr="000874A8">
        <w:t>ars besökte Fiskekommunerna Lysekil och SLU:s forskningsfartyg Svea.</w:t>
      </w:r>
    </w:p>
    <w:p w14:paraId="5C40C918" w14:textId="77777777" w:rsidR="009A0127" w:rsidRPr="000874A8" w:rsidRDefault="009A0127" w:rsidP="009A0127">
      <w:r w:rsidRPr="000874A8">
        <w:t xml:space="preserve">I </w:t>
      </w:r>
      <w:r w:rsidRPr="000874A8">
        <w:rPr>
          <w:b/>
          <w:bCs/>
        </w:rPr>
        <w:t>maj</w:t>
      </w:r>
      <w:r w:rsidRPr="000874A8">
        <w:t xml:space="preserve"> förlades ledningsgruppsmötet med FK till Uddevalla i syfte att fördjupa oss i Stiftelsen Byfjordens och Fjordtorsks projekt att syresätta Byfjorden med hjälp av en syresättningsanordning. </w:t>
      </w:r>
    </w:p>
    <w:p w14:paraId="3C6F91DC" w14:textId="77777777" w:rsidR="009A0127" w:rsidRPr="000874A8" w:rsidRDefault="009A0127" w:rsidP="009A0127">
      <w:r w:rsidRPr="000874A8">
        <w:t xml:space="preserve"> I </w:t>
      </w:r>
      <w:r w:rsidRPr="000874A8">
        <w:rPr>
          <w:b/>
          <w:bCs/>
        </w:rPr>
        <w:t>september</w:t>
      </w:r>
      <w:r w:rsidRPr="000874A8">
        <w:t xml:space="preserve"> hölls mötet på Väderöarna där utmaningarna med turismfiskelicens uppmärksammades. </w:t>
      </w:r>
    </w:p>
    <w:p w14:paraId="1F3B6D3B" w14:textId="77777777" w:rsidR="009A0127" w:rsidRPr="000874A8" w:rsidRDefault="009A0127" w:rsidP="009A0127">
      <w:r w:rsidRPr="000874A8">
        <w:t>I</w:t>
      </w:r>
      <w:r w:rsidRPr="000874A8">
        <w:rPr>
          <w:b/>
          <w:bCs/>
        </w:rPr>
        <w:t xml:space="preserve"> oktober</w:t>
      </w:r>
      <w:r w:rsidRPr="000874A8">
        <w:t xml:space="preserve"> sågs ledningsgruppen i Uddevalla och fortsatte fördjupningen i problematiken med turismfiskelicens i praktiken. </w:t>
      </w:r>
    </w:p>
    <w:p w14:paraId="45DA2EC6" w14:textId="77777777" w:rsidR="009A0127" w:rsidRPr="000874A8" w:rsidRDefault="009A0127" w:rsidP="009A0127">
      <w:r w:rsidRPr="000874A8">
        <w:rPr>
          <w:b/>
          <w:bCs/>
        </w:rPr>
        <w:t>Decembermötet</w:t>
      </w:r>
      <w:r w:rsidRPr="000874A8">
        <w:t xml:space="preserve"> hölls traditionsenligt på Havs och Vattenmyndigheten i Göteborg där 5 representanter från myndigheten berättade om havsplaner, inventering av ålgräs, kvotnyttjande i förhållande till nyrekrytering. Mötet öppnades av de nytillsatta GD för myndigheten, Anna Ledin. </w:t>
      </w:r>
    </w:p>
    <w:p w14:paraId="5E414090" w14:textId="77777777" w:rsidR="009A0127" w:rsidRPr="000874A8" w:rsidRDefault="009A0127" w:rsidP="009A0127">
      <w:pPr>
        <w:rPr>
          <w:b/>
          <w:bCs/>
        </w:rPr>
      </w:pPr>
      <w:r w:rsidRPr="000874A8">
        <w:rPr>
          <w:b/>
          <w:bCs/>
        </w:rPr>
        <w:t xml:space="preserve">Aktiviteter under året </w:t>
      </w:r>
    </w:p>
    <w:p w14:paraId="0856BDF7" w14:textId="77777777" w:rsidR="009A0127" w:rsidRPr="000874A8" w:rsidRDefault="009A0127" w:rsidP="009A0127">
      <w:r w:rsidRPr="000874A8">
        <w:t>Utöver ledningsgruppsmöten har nätverket deltagit i följande aktiviteter och engagemang.</w:t>
      </w:r>
    </w:p>
    <w:p w14:paraId="02C2648E" w14:textId="77777777" w:rsidR="009A0127" w:rsidRPr="000874A8" w:rsidRDefault="009A0127" w:rsidP="009A0127">
      <w:pPr>
        <w:pStyle w:val="Liststycke"/>
        <w:numPr>
          <w:ilvl w:val="0"/>
          <w:numId w:val="2"/>
        </w:numPr>
        <w:spacing w:after="160" w:line="259" w:lineRule="auto"/>
      </w:pPr>
      <w:r w:rsidRPr="000874A8">
        <w:t xml:space="preserve">Nordic Seafood summit. </w:t>
      </w:r>
    </w:p>
    <w:p w14:paraId="76985B6C" w14:textId="77777777" w:rsidR="009A0127" w:rsidRPr="000874A8" w:rsidRDefault="009A0127" w:rsidP="009A0127">
      <w:pPr>
        <w:pStyle w:val="Liststycke"/>
        <w:numPr>
          <w:ilvl w:val="0"/>
          <w:numId w:val="2"/>
        </w:numPr>
        <w:spacing w:after="160" w:line="259" w:lineRule="auto"/>
      </w:pPr>
      <w:r w:rsidRPr="000874A8">
        <w:t>Workshop ”Samrådsformer för ekosystembaserad havsförvaltning”</w:t>
      </w:r>
    </w:p>
    <w:p w14:paraId="4DF83526" w14:textId="77777777" w:rsidR="009A0127" w:rsidRPr="000874A8" w:rsidRDefault="009A0127" w:rsidP="009A0127">
      <w:pPr>
        <w:pStyle w:val="Liststycke"/>
        <w:numPr>
          <w:ilvl w:val="0"/>
          <w:numId w:val="2"/>
        </w:numPr>
        <w:spacing w:after="160" w:line="259" w:lineRule="auto"/>
      </w:pPr>
      <w:r w:rsidRPr="000874A8">
        <w:t xml:space="preserve">Tjärnö Marina företagsmässa </w:t>
      </w:r>
    </w:p>
    <w:p w14:paraId="461BC766" w14:textId="77777777" w:rsidR="009A0127" w:rsidRPr="000874A8" w:rsidRDefault="009A0127" w:rsidP="009A0127">
      <w:pPr>
        <w:pStyle w:val="Liststycke"/>
        <w:numPr>
          <w:ilvl w:val="0"/>
          <w:numId w:val="2"/>
        </w:numPr>
        <w:spacing w:after="160" w:line="259" w:lineRule="auto"/>
      </w:pPr>
      <w:r w:rsidRPr="000874A8">
        <w:t xml:space="preserve">Fortsättningsarbetet för Fiskaren i skolan </w:t>
      </w:r>
    </w:p>
    <w:p w14:paraId="32BD70AB" w14:textId="77777777" w:rsidR="009A0127" w:rsidRPr="000874A8" w:rsidRDefault="009A0127" w:rsidP="009A0127">
      <w:pPr>
        <w:pStyle w:val="Liststycke"/>
        <w:numPr>
          <w:ilvl w:val="0"/>
          <w:numId w:val="2"/>
        </w:numPr>
        <w:spacing w:after="160" w:line="259" w:lineRule="auto"/>
      </w:pPr>
      <w:r w:rsidRPr="000874A8">
        <w:t>Workshop i framtagandet av Jordbruksverkets ”handlingsplan för den pelagiska värdekedjan”</w:t>
      </w:r>
    </w:p>
    <w:p w14:paraId="28981714" w14:textId="77777777" w:rsidR="009A0127" w:rsidRPr="000874A8" w:rsidRDefault="009A0127" w:rsidP="009A0127">
      <w:pPr>
        <w:pStyle w:val="Liststycke"/>
        <w:numPr>
          <w:ilvl w:val="0"/>
          <w:numId w:val="2"/>
        </w:numPr>
        <w:spacing w:after="160" w:line="259" w:lineRule="auto"/>
      </w:pPr>
      <w:r w:rsidRPr="000874A8">
        <w:t>Deltagande i projektaktiviteter C2B2 (</w:t>
      </w:r>
      <w:proofErr w:type="spellStart"/>
      <w:r w:rsidRPr="000874A8">
        <w:t>living</w:t>
      </w:r>
      <w:proofErr w:type="spellEnd"/>
      <w:r w:rsidRPr="000874A8">
        <w:t xml:space="preserve"> </w:t>
      </w:r>
      <w:proofErr w:type="spellStart"/>
      <w:r w:rsidRPr="000874A8">
        <w:t>labs</w:t>
      </w:r>
      <w:proofErr w:type="spellEnd"/>
      <w:r w:rsidRPr="000874A8">
        <w:t>)</w:t>
      </w:r>
    </w:p>
    <w:p w14:paraId="6DBA34A0" w14:textId="77777777" w:rsidR="009A0127" w:rsidRPr="000874A8" w:rsidRDefault="009A0127" w:rsidP="009A0127">
      <w:pPr>
        <w:pStyle w:val="Liststycke"/>
        <w:numPr>
          <w:ilvl w:val="0"/>
          <w:numId w:val="2"/>
        </w:numPr>
        <w:spacing w:after="160" w:line="259" w:lineRule="auto"/>
      </w:pPr>
      <w:r w:rsidRPr="000874A8">
        <w:t>Konferens Samexistens (Nordic Innovation, Landsbygdsnätverket, Jordbruksverket)</w:t>
      </w:r>
    </w:p>
    <w:p w14:paraId="1B81E094" w14:textId="77777777" w:rsidR="009A0127" w:rsidRPr="000874A8" w:rsidRDefault="009A0127" w:rsidP="009A0127">
      <w:pPr>
        <w:pStyle w:val="Liststycke"/>
        <w:numPr>
          <w:ilvl w:val="0"/>
          <w:numId w:val="2"/>
        </w:numPr>
        <w:spacing w:after="160" w:line="259" w:lineRule="auto"/>
      </w:pPr>
      <w:r w:rsidRPr="000874A8">
        <w:t xml:space="preserve">100 % </w:t>
      </w:r>
      <w:proofErr w:type="spellStart"/>
      <w:r w:rsidRPr="000874A8">
        <w:t>Fish</w:t>
      </w:r>
      <w:proofErr w:type="spellEnd"/>
      <w:r w:rsidRPr="000874A8">
        <w:t xml:space="preserve"> </w:t>
      </w:r>
    </w:p>
    <w:p w14:paraId="60914A62" w14:textId="77777777" w:rsidR="009A0127" w:rsidRPr="000874A8" w:rsidRDefault="009A0127" w:rsidP="009A0127">
      <w:pPr>
        <w:pStyle w:val="Liststycke"/>
        <w:numPr>
          <w:ilvl w:val="0"/>
          <w:numId w:val="2"/>
        </w:numPr>
        <w:spacing w:after="160" w:line="259" w:lineRule="auto"/>
      </w:pPr>
      <w:r w:rsidRPr="000874A8">
        <w:t>Symposium om Havsbaserad vindkraft (arrangerat av Vattenrådet För Bohuskusten)</w:t>
      </w:r>
    </w:p>
    <w:p w14:paraId="40DF696B" w14:textId="77777777" w:rsidR="009A0127" w:rsidRPr="000874A8" w:rsidRDefault="009A0127" w:rsidP="009A0127">
      <w:pPr>
        <w:pStyle w:val="Liststycke"/>
        <w:numPr>
          <w:ilvl w:val="0"/>
          <w:numId w:val="2"/>
        </w:numPr>
        <w:spacing w:after="160" w:line="259" w:lineRule="auto"/>
      </w:pPr>
      <w:r w:rsidRPr="000874A8">
        <w:t xml:space="preserve">Nationell yrkesfiskekonferens </w:t>
      </w:r>
    </w:p>
    <w:p w14:paraId="55DC0337" w14:textId="77777777" w:rsidR="009A0127" w:rsidRPr="000874A8" w:rsidRDefault="009A0127" w:rsidP="009A0127">
      <w:pPr>
        <w:pStyle w:val="Liststycke"/>
        <w:numPr>
          <w:ilvl w:val="0"/>
          <w:numId w:val="2"/>
        </w:numPr>
        <w:spacing w:after="160" w:line="259" w:lineRule="auto"/>
      </w:pPr>
      <w:r w:rsidRPr="000874A8">
        <w:t>Fisketräff i Strömstad och Tanum</w:t>
      </w:r>
    </w:p>
    <w:p w14:paraId="74742A8C" w14:textId="77777777" w:rsidR="009A0127" w:rsidRPr="000874A8" w:rsidRDefault="009A0127" w:rsidP="009A0127">
      <w:pPr>
        <w:pStyle w:val="Liststycke"/>
        <w:numPr>
          <w:ilvl w:val="0"/>
          <w:numId w:val="2"/>
        </w:numPr>
        <w:spacing w:after="160" w:line="259" w:lineRule="auto"/>
      </w:pPr>
      <w:r w:rsidRPr="000874A8">
        <w:t xml:space="preserve">Fokus-, åtgärdsgrupper handlingsplanen utifrån nationella strategin yrkesfiske, fritidsfiske och vattenbruk har skett löpande.  </w:t>
      </w:r>
    </w:p>
    <w:p w14:paraId="27912756" w14:textId="77777777" w:rsidR="009A0127" w:rsidRPr="000874A8" w:rsidRDefault="009A0127" w:rsidP="009A0127">
      <w:r w:rsidRPr="000874A8">
        <w:t xml:space="preserve">I januari deltog hela ledningsgruppen under Nordic Seafood Summit, där </w:t>
      </w:r>
      <w:proofErr w:type="spellStart"/>
      <w:r w:rsidRPr="000874A8">
        <w:t>orförande</w:t>
      </w:r>
      <w:proofErr w:type="spellEnd"/>
      <w:r w:rsidRPr="000874A8">
        <w:t xml:space="preserve"> även deltog i en panel i scenprogrammet. Processledaren deltog i workshop med syfte att hitta bättre former för samråd för ekosystembaserad havsförvaltning. Fiskekommunerna var aktiva i planering och genomförande av Tjärnö marina företagsmässa med temat ”ekologiskt hållbart fiske och vattenbruk”. Ett lyckat event som avslutades med smakprov från havet. </w:t>
      </w:r>
      <w:r w:rsidRPr="000874A8">
        <w:lastRenderedPageBreak/>
        <w:t xml:space="preserve">Processledaren har också engagerat sig i fortlevnaden av Fiskaren i Skolan som numera huseras av Sjömatsfrämjandet. </w:t>
      </w:r>
    </w:p>
    <w:p w14:paraId="069EC611" w14:textId="77777777" w:rsidR="009A0127" w:rsidRPr="000874A8" w:rsidRDefault="009A0127" w:rsidP="009A0127">
      <w:r w:rsidRPr="000874A8">
        <w:t>Fiskekommunerna har också engagerat sig i framtagandet av handlingsplanen från Jordbruksverket ”den blå värdekedjan”. Under året har också uppstarten av C2B2 skett, processledaren har deltagit i ”</w:t>
      </w:r>
      <w:proofErr w:type="spellStart"/>
      <w:r w:rsidRPr="000874A8">
        <w:t>Living</w:t>
      </w:r>
      <w:proofErr w:type="spellEnd"/>
      <w:r w:rsidRPr="000874A8">
        <w:t xml:space="preserve"> </w:t>
      </w:r>
      <w:proofErr w:type="spellStart"/>
      <w:r w:rsidRPr="000874A8">
        <w:t>Labs</w:t>
      </w:r>
      <w:proofErr w:type="spellEnd"/>
      <w:r w:rsidRPr="000874A8">
        <w:t>” i syfte att ta fram en hållbar förvaltningsmodell av havet (Skagerrak, Kattegatt)</w:t>
      </w:r>
      <w:r>
        <w:t xml:space="preserve">. Under året har Fiskekommunerna skickat förfrågan om medlemskap i Blå Mat. </w:t>
      </w:r>
    </w:p>
    <w:p w14:paraId="14213A05" w14:textId="77777777" w:rsidR="009A0127" w:rsidRDefault="009A0127" w:rsidP="009A0127">
      <w:r w:rsidRPr="000874A8">
        <w:t>I oktober deltog Fiskekommuner</w:t>
      </w:r>
      <w:r>
        <w:t xml:space="preserve">na på 100&amp; </w:t>
      </w:r>
      <w:proofErr w:type="spellStart"/>
      <w:r>
        <w:t>fish</w:t>
      </w:r>
      <w:proofErr w:type="spellEnd"/>
      <w:r>
        <w:t xml:space="preserve">, en inspirationsdag med Island som exempel för att inspirera till att ta vara på mer andel av råvaran från havet i innovativa produkter och användningsområden. </w:t>
      </w:r>
    </w:p>
    <w:p w14:paraId="59BB7C00" w14:textId="77777777" w:rsidR="009A0127" w:rsidRDefault="009A0127" w:rsidP="009A0127">
      <w:r>
        <w:t xml:space="preserve">Vattenrådet för Bohuskusten bjöd in till Symposium gällande havsbaserad vindkraft där processledaren deltog. Fiskekommunerna ansvarar för en åtgärdsgrupp (vattenbruk) inom beredskap med syfte att stärka vattenbruksnäringens beredskapsförmåga.  </w:t>
      </w:r>
    </w:p>
    <w:p w14:paraId="0890EFF5" w14:textId="77777777" w:rsidR="009A0127" w:rsidRDefault="009A0127" w:rsidP="009A0127">
      <w:r w:rsidRPr="00BE6E55">
        <w:t xml:space="preserve">I november deltog </w:t>
      </w:r>
      <w:r>
        <w:t xml:space="preserve">processledare, ordförande samt flertalet representanter i ledningsgruppen under Nationella Yrkesfiskekonferensen i Stenungssund. </w:t>
      </w:r>
    </w:p>
    <w:p w14:paraId="3B524952" w14:textId="77777777" w:rsidR="009A0127" w:rsidRPr="00BE6E55" w:rsidRDefault="009A0127" w:rsidP="009A0127">
      <w:r>
        <w:t xml:space="preserve">Under december anordnades en fisketräff tillsammans med representanter för kommunerna Strömstad och Tanum. </w:t>
      </w:r>
    </w:p>
    <w:p w14:paraId="5ED394EC" w14:textId="77777777" w:rsidR="009A0127" w:rsidRPr="000874A8" w:rsidRDefault="009A0127" w:rsidP="009A0127">
      <w:r w:rsidRPr="000874A8">
        <w:t xml:space="preserve">Aktuella projekt: </w:t>
      </w:r>
    </w:p>
    <w:p w14:paraId="7604FC2B" w14:textId="77777777" w:rsidR="009A0127" w:rsidRPr="000874A8" w:rsidRDefault="009A0127" w:rsidP="009A0127">
      <w:pPr>
        <w:pStyle w:val="Liststycke"/>
        <w:numPr>
          <w:ilvl w:val="0"/>
          <w:numId w:val="1"/>
        </w:numPr>
        <w:spacing w:after="160" w:line="259" w:lineRule="auto"/>
        <w:jc w:val="both"/>
      </w:pPr>
      <w:r w:rsidRPr="000874A8">
        <w:t>C2B2 (</w:t>
      </w:r>
      <w:proofErr w:type="gramStart"/>
      <w:r w:rsidRPr="000874A8">
        <w:t>uppstart september</w:t>
      </w:r>
      <w:proofErr w:type="gramEnd"/>
      <w:r w:rsidRPr="000874A8">
        <w:t xml:space="preserve"> 2023).   </w:t>
      </w:r>
    </w:p>
    <w:p w14:paraId="384B070A" w14:textId="77777777" w:rsidR="009A0127" w:rsidRPr="000874A8" w:rsidRDefault="009A0127" w:rsidP="009A0127">
      <w:pPr>
        <w:ind w:left="360"/>
        <w:jc w:val="both"/>
      </w:pPr>
      <w:r w:rsidRPr="008815CD">
        <w:rPr>
          <w:lang w:val="nb-NO"/>
        </w:rPr>
        <w:t xml:space="preserve">Under året har </w:t>
      </w:r>
      <w:proofErr w:type="spellStart"/>
      <w:r w:rsidRPr="008815CD">
        <w:rPr>
          <w:lang w:val="nb-NO"/>
        </w:rPr>
        <w:t>Fiskekommunerna</w:t>
      </w:r>
      <w:proofErr w:type="spellEnd"/>
      <w:r w:rsidRPr="008815CD">
        <w:rPr>
          <w:lang w:val="nb-NO"/>
        </w:rPr>
        <w:t xml:space="preserve"> </w:t>
      </w:r>
      <w:proofErr w:type="spellStart"/>
      <w:r w:rsidRPr="008815CD">
        <w:rPr>
          <w:lang w:val="nb-NO"/>
        </w:rPr>
        <w:t>medverkat</w:t>
      </w:r>
      <w:proofErr w:type="spellEnd"/>
      <w:r w:rsidRPr="008815CD">
        <w:rPr>
          <w:lang w:val="nb-NO"/>
        </w:rPr>
        <w:t xml:space="preserve"> i C2B2 – Co </w:t>
      </w:r>
      <w:proofErr w:type="spellStart"/>
      <w:r w:rsidRPr="008815CD">
        <w:rPr>
          <w:lang w:val="nb-NO"/>
        </w:rPr>
        <w:t>Creating</w:t>
      </w:r>
      <w:proofErr w:type="spellEnd"/>
      <w:r w:rsidRPr="008815CD">
        <w:rPr>
          <w:lang w:val="nb-NO"/>
        </w:rPr>
        <w:t xml:space="preserve"> Better Blue, med </w:t>
      </w:r>
      <w:proofErr w:type="spellStart"/>
      <w:r w:rsidRPr="008815CD">
        <w:rPr>
          <w:lang w:val="nb-NO"/>
        </w:rPr>
        <w:t>Fiskekommunerna</w:t>
      </w:r>
      <w:proofErr w:type="spellEnd"/>
      <w:r w:rsidRPr="008815CD">
        <w:rPr>
          <w:lang w:val="nb-NO"/>
        </w:rPr>
        <w:t xml:space="preserve"> som stakeholder. </w:t>
      </w:r>
      <w:r w:rsidRPr="000874A8">
        <w:t>Projektet leds av Göteborgs Universitet</w:t>
      </w:r>
      <w:r>
        <w:t xml:space="preserve"> med finansiering av MISTRA</w:t>
      </w:r>
      <w:r w:rsidRPr="000874A8">
        <w:t xml:space="preserve"> och sträcker sig över 4 år med möjlighet till förlängning. </w:t>
      </w:r>
      <w:r>
        <w:t xml:space="preserve">Processledaren har deltagit i en fysisk workshop och en digital. </w:t>
      </w:r>
    </w:p>
    <w:p w14:paraId="3159E991" w14:textId="77777777" w:rsidR="009A0127" w:rsidRPr="000874A8" w:rsidRDefault="009A0127" w:rsidP="009A0127">
      <w:pPr>
        <w:jc w:val="both"/>
      </w:pPr>
    </w:p>
    <w:p w14:paraId="61623ED5" w14:textId="77777777" w:rsidR="009A0127" w:rsidRPr="000874A8" w:rsidRDefault="009A0127" w:rsidP="009A0127">
      <w:pPr>
        <w:rPr>
          <w:b/>
          <w:bCs/>
        </w:rPr>
      </w:pPr>
      <w:r w:rsidRPr="000874A8">
        <w:rPr>
          <w:b/>
          <w:bCs/>
        </w:rPr>
        <w:t>Remissvar och yttranden</w:t>
      </w:r>
    </w:p>
    <w:p w14:paraId="11116572" w14:textId="77777777" w:rsidR="009A0127" w:rsidRDefault="009A0127" w:rsidP="009A0127">
      <w:r w:rsidRPr="000874A8">
        <w:t xml:space="preserve">Under året har Fiskekommunerna svarat på </w:t>
      </w:r>
      <w:r>
        <w:t>6</w:t>
      </w:r>
      <w:r w:rsidRPr="000874A8">
        <w:t xml:space="preserve"> remisser. </w:t>
      </w:r>
      <w:r>
        <w:t xml:space="preserve">Dels gällande vindkraftsförfrågningar och processen att ta fram nya havsplaner. </w:t>
      </w:r>
      <w:r w:rsidRPr="000874A8">
        <w:t>Nätverket har även deltagit i relevanta muntliga samråd från såväl vindkraftsbolag som myndigheter</w:t>
      </w:r>
      <w:r>
        <w:t xml:space="preserve">. Regelförutsättningar för utveckling av svenskt vattenbruk har också engagerat nätverket. </w:t>
      </w:r>
    </w:p>
    <w:p w14:paraId="636D87C0" w14:textId="77777777" w:rsidR="009A0127" w:rsidRPr="00803230" w:rsidRDefault="009A0127" w:rsidP="009A0127">
      <w:pPr>
        <w:pStyle w:val="Liststycke"/>
        <w:numPr>
          <w:ilvl w:val="0"/>
          <w:numId w:val="3"/>
        </w:numPr>
        <w:spacing w:after="160" w:line="259" w:lineRule="auto"/>
      </w:pPr>
      <w:r w:rsidRPr="00803230">
        <w:t>Mareld Green Energy AB:s ansökan om tillstånd enligt lagen (1992:1140) om Sveriges ekonomiska zon för vindparken Mareld</w:t>
      </w:r>
    </w:p>
    <w:p w14:paraId="7BFDB992" w14:textId="77777777" w:rsidR="009A0127" w:rsidRDefault="009A0127" w:rsidP="009A0127">
      <w:pPr>
        <w:pStyle w:val="Liststycke"/>
        <w:numPr>
          <w:ilvl w:val="0"/>
          <w:numId w:val="3"/>
        </w:numPr>
        <w:spacing w:after="160" w:line="259" w:lineRule="auto"/>
      </w:pPr>
      <w:r>
        <w:t xml:space="preserve">Aktualisering av hamnar av riksintresse för yrkesfiske </w:t>
      </w:r>
    </w:p>
    <w:p w14:paraId="4FC51AA9" w14:textId="77777777" w:rsidR="009A0127" w:rsidRDefault="009A0127" w:rsidP="009A0127">
      <w:pPr>
        <w:pStyle w:val="Liststycke"/>
        <w:numPr>
          <w:ilvl w:val="0"/>
          <w:numId w:val="3"/>
        </w:numPr>
        <w:spacing w:after="160" w:line="259" w:lineRule="auto"/>
      </w:pPr>
      <w:r>
        <w:t xml:space="preserve">Areella näringar i vatten </w:t>
      </w:r>
    </w:p>
    <w:p w14:paraId="579CB2B7" w14:textId="77777777" w:rsidR="009A0127" w:rsidRDefault="009A0127" w:rsidP="009A0127">
      <w:pPr>
        <w:pStyle w:val="Liststycke"/>
        <w:numPr>
          <w:ilvl w:val="0"/>
          <w:numId w:val="3"/>
        </w:numPr>
        <w:spacing w:after="160" w:line="259" w:lineRule="auto"/>
      </w:pPr>
      <w:r w:rsidRPr="000A3256">
        <w:t xml:space="preserve">Delbetänkande: förenklade förutsättningar för ett hållbart vattenbruk (SOU 2023:74)  </w:t>
      </w:r>
    </w:p>
    <w:p w14:paraId="3180F0D8" w14:textId="77777777" w:rsidR="009A0127" w:rsidRDefault="009A0127" w:rsidP="009A0127">
      <w:pPr>
        <w:pStyle w:val="Liststycke"/>
        <w:numPr>
          <w:ilvl w:val="0"/>
          <w:numId w:val="3"/>
        </w:numPr>
        <w:spacing w:after="160" w:line="259" w:lineRule="auto"/>
      </w:pPr>
      <w:r>
        <w:t xml:space="preserve">Granskningssamråd Havsplaner </w:t>
      </w:r>
    </w:p>
    <w:p w14:paraId="3AA46A8E" w14:textId="77777777" w:rsidR="009A0127" w:rsidRPr="000874A8" w:rsidRDefault="009A0127" w:rsidP="009A0127">
      <w:pPr>
        <w:pStyle w:val="Liststycke"/>
        <w:numPr>
          <w:ilvl w:val="0"/>
          <w:numId w:val="3"/>
        </w:numPr>
        <w:spacing w:after="160" w:line="259" w:lineRule="auto"/>
      </w:pPr>
      <w:r>
        <w:t>Automatisk provtagningsanordning vid större pelagiska landningar</w:t>
      </w:r>
    </w:p>
    <w:p w14:paraId="5098AC7E" w14:textId="77777777" w:rsidR="009A0127" w:rsidRPr="000874A8" w:rsidRDefault="009A0127" w:rsidP="009A0127">
      <w:pPr>
        <w:pStyle w:val="Liststycke"/>
        <w:ind w:left="417"/>
      </w:pPr>
    </w:p>
    <w:p w14:paraId="0C1E2EA0" w14:textId="77777777" w:rsidR="009A0127" w:rsidRPr="000874A8" w:rsidRDefault="009A0127" w:rsidP="009A0127">
      <w:pPr>
        <w:pStyle w:val="Liststycke"/>
        <w:ind w:left="417"/>
      </w:pPr>
    </w:p>
    <w:p w14:paraId="7CEF6339" w14:textId="77777777" w:rsidR="009A0127" w:rsidRPr="000874A8" w:rsidRDefault="009A0127" w:rsidP="009A0127">
      <w:pPr>
        <w:pStyle w:val="Liststycke"/>
        <w:ind w:left="417"/>
      </w:pPr>
    </w:p>
    <w:p w14:paraId="06BE7D45" w14:textId="77777777" w:rsidR="009A0127" w:rsidRDefault="009A0127" w:rsidP="009A0127">
      <w:pPr>
        <w:spacing w:line="480" w:lineRule="auto"/>
        <w:rPr>
          <w:b/>
          <w:bCs/>
        </w:rPr>
      </w:pPr>
      <w:r w:rsidRPr="000874A8">
        <w:rPr>
          <w:b/>
          <w:bCs/>
        </w:rPr>
        <w:t xml:space="preserve">Ekonomisk redovisning </w:t>
      </w:r>
    </w:p>
    <w:p w14:paraId="54D86169" w14:textId="77777777" w:rsidR="009A0127" w:rsidRPr="000874A8" w:rsidRDefault="009A0127" w:rsidP="009A0127">
      <w:pPr>
        <w:spacing w:line="276" w:lineRule="auto"/>
      </w:pPr>
      <w:r>
        <w:t xml:space="preserve">Fiskekommunerna fick under början av 2024 beviljat nytt projektstöd för nätverkets verksamhet. Projektet beviljades tre år framåt, från </w:t>
      </w:r>
      <w:proofErr w:type="gramStart"/>
      <w:r>
        <w:t>2024-2026</w:t>
      </w:r>
      <w:proofErr w:type="gramEnd"/>
      <w:r>
        <w:t xml:space="preserve"> och finansieras genom medlemskommunerna, vilka är oförändrade från föregående period samt Västra Götalandsregionen. </w:t>
      </w:r>
      <w:r w:rsidRPr="000874A8">
        <w:t>Medlemskommunerna finansiera</w:t>
      </w:r>
      <w:r>
        <w:t>r</w:t>
      </w:r>
      <w:r w:rsidRPr="000874A8">
        <w:t xml:space="preserve"> nätverket med </w:t>
      </w:r>
      <w:proofErr w:type="gramStart"/>
      <w:r w:rsidRPr="000874A8">
        <w:t>2</w:t>
      </w:r>
      <w:r>
        <w:t>2</w:t>
      </w:r>
      <w:r w:rsidRPr="000874A8">
        <w:t>.000</w:t>
      </w:r>
      <w:proofErr w:type="gramEnd"/>
      <w:r w:rsidRPr="000874A8">
        <w:t xml:space="preserve"> kr år</w:t>
      </w:r>
      <w:r>
        <w:t>ligen</w:t>
      </w:r>
      <w:r w:rsidRPr="000874A8">
        <w:t xml:space="preserve"> och VGR med samma summa som motsvarar de nio kommunernas</w:t>
      </w:r>
      <w:r>
        <w:t>,</w:t>
      </w:r>
      <w:r w:rsidRPr="000874A8">
        <w:t xml:space="preserve"> dvs. </w:t>
      </w:r>
      <w:r>
        <w:t>198</w:t>
      </w:r>
      <w:r w:rsidRPr="000874A8">
        <w:t xml:space="preserve"> 000 kr. Ekonomisk redovisning med rekvisition till VGR har skett varje halvår.  </w:t>
      </w:r>
    </w:p>
    <w:p w14:paraId="0C1DCC78" w14:textId="77777777" w:rsidR="009A0127" w:rsidRPr="000874A8" w:rsidRDefault="009A0127" w:rsidP="009A0127">
      <w:pPr>
        <w:spacing w:line="276" w:lineRule="auto"/>
        <w:rPr>
          <w:b/>
          <w:bCs/>
        </w:rPr>
      </w:pPr>
      <w:r w:rsidRPr="000874A8">
        <w:rPr>
          <w:b/>
          <w:bCs/>
        </w:rPr>
        <w:lastRenderedPageBreak/>
        <w:t xml:space="preserve">Kommunikation </w:t>
      </w:r>
    </w:p>
    <w:p w14:paraId="6E39CA78" w14:textId="77777777" w:rsidR="009A0127" w:rsidRPr="000874A8" w:rsidRDefault="009A0127" w:rsidP="009A0127">
      <w:pPr>
        <w:spacing w:line="276" w:lineRule="auto"/>
      </w:pPr>
      <w:r w:rsidRPr="000874A8">
        <w:t xml:space="preserve">På Fiskekommunernas hemsida </w:t>
      </w:r>
      <w:hyperlink r:id="rId5" w:history="1">
        <w:r w:rsidRPr="000874A8">
          <w:rPr>
            <w:rStyle w:val="Hyperlnk"/>
            <w:rFonts w:eastAsiaTheme="majorEastAsia"/>
          </w:rPr>
          <w:t>www.fiskekommunerna.se</w:t>
        </w:r>
      </w:hyperlink>
      <w:r w:rsidRPr="000874A8">
        <w:t xml:space="preserve"> finns protokoll från ledningsgruppsmöten, remissvar och andra yttranden samt artiklar publicerade. Även kontaktuppgifter. Hemsidan uppdateras kontinuerligt och tillsammans med LinkedIn och Facebook nätverkets kommunikationskanaler. </w:t>
      </w:r>
    </w:p>
    <w:p w14:paraId="596B3989" w14:textId="77777777" w:rsidR="003E4E7F" w:rsidRDefault="003E4E7F"/>
    <w:sectPr w:rsidR="003E4E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B74A5"/>
    <w:multiLevelType w:val="hybridMultilevel"/>
    <w:tmpl w:val="84CC0134"/>
    <w:lvl w:ilvl="0" w:tplc="D0D2BFFA">
      <w:start w:val="3"/>
      <w:numFmt w:val="bullet"/>
      <w:lvlText w:val="-"/>
      <w:lvlJc w:val="left"/>
      <w:pPr>
        <w:ind w:left="1137" w:hanging="360"/>
      </w:pPr>
      <w:rPr>
        <w:rFonts w:ascii="Times New Roman" w:eastAsiaTheme="minorEastAsia" w:hAnsi="Times New Roman" w:cs="Times New Roman" w:hint="default"/>
      </w:rPr>
    </w:lvl>
    <w:lvl w:ilvl="1" w:tplc="041D0003" w:tentative="1">
      <w:start w:val="1"/>
      <w:numFmt w:val="bullet"/>
      <w:lvlText w:val="o"/>
      <w:lvlJc w:val="left"/>
      <w:pPr>
        <w:ind w:left="1857" w:hanging="360"/>
      </w:pPr>
      <w:rPr>
        <w:rFonts w:ascii="Courier New" w:hAnsi="Courier New" w:cs="Courier New" w:hint="default"/>
      </w:rPr>
    </w:lvl>
    <w:lvl w:ilvl="2" w:tplc="041D0005" w:tentative="1">
      <w:start w:val="1"/>
      <w:numFmt w:val="bullet"/>
      <w:lvlText w:val=""/>
      <w:lvlJc w:val="left"/>
      <w:pPr>
        <w:ind w:left="2577" w:hanging="360"/>
      </w:pPr>
      <w:rPr>
        <w:rFonts w:ascii="Wingdings" w:hAnsi="Wingdings" w:hint="default"/>
      </w:rPr>
    </w:lvl>
    <w:lvl w:ilvl="3" w:tplc="041D0001" w:tentative="1">
      <w:start w:val="1"/>
      <w:numFmt w:val="bullet"/>
      <w:lvlText w:val=""/>
      <w:lvlJc w:val="left"/>
      <w:pPr>
        <w:ind w:left="3297" w:hanging="360"/>
      </w:pPr>
      <w:rPr>
        <w:rFonts w:ascii="Symbol" w:hAnsi="Symbol" w:hint="default"/>
      </w:rPr>
    </w:lvl>
    <w:lvl w:ilvl="4" w:tplc="041D0003" w:tentative="1">
      <w:start w:val="1"/>
      <w:numFmt w:val="bullet"/>
      <w:lvlText w:val="o"/>
      <w:lvlJc w:val="left"/>
      <w:pPr>
        <w:ind w:left="4017" w:hanging="360"/>
      </w:pPr>
      <w:rPr>
        <w:rFonts w:ascii="Courier New" w:hAnsi="Courier New" w:cs="Courier New" w:hint="default"/>
      </w:rPr>
    </w:lvl>
    <w:lvl w:ilvl="5" w:tplc="041D0005" w:tentative="1">
      <w:start w:val="1"/>
      <w:numFmt w:val="bullet"/>
      <w:lvlText w:val=""/>
      <w:lvlJc w:val="left"/>
      <w:pPr>
        <w:ind w:left="4737" w:hanging="360"/>
      </w:pPr>
      <w:rPr>
        <w:rFonts w:ascii="Wingdings" w:hAnsi="Wingdings" w:hint="default"/>
      </w:rPr>
    </w:lvl>
    <w:lvl w:ilvl="6" w:tplc="041D0001" w:tentative="1">
      <w:start w:val="1"/>
      <w:numFmt w:val="bullet"/>
      <w:lvlText w:val=""/>
      <w:lvlJc w:val="left"/>
      <w:pPr>
        <w:ind w:left="5457" w:hanging="360"/>
      </w:pPr>
      <w:rPr>
        <w:rFonts w:ascii="Symbol" w:hAnsi="Symbol" w:hint="default"/>
      </w:rPr>
    </w:lvl>
    <w:lvl w:ilvl="7" w:tplc="041D0003" w:tentative="1">
      <w:start w:val="1"/>
      <w:numFmt w:val="bullet"/>
      <w:lvlText w:val="o"/>
      <w:lvlJc w:val="left"/>
      <w:pPr>
        <w:ind w:left="6177" w:hanging="360"/>
      </w:pPr>
      <w:rPr>
        <w:rFonts w:ascii="Courier New" w:hAnsi="Courier New" w:cs="Courier New" w:hint="default"/>
      </w:rPr>
    </w:lvl>
    <w:lvl w:ilvl="8" w:tplc="041D0005" w:tentative="1">
      <w:start w:val="1"/>
      <w:numFmt w:val="bullet"/>
      <w:lvlText w:val=""/>
      <w:lvlJc w:val="left"/>
      <w:pPr>
        <w:ind w:left="6897" w:hanging="360"/>
      </w:pPr>
      <w:rPr>
        <w:rFonts w:ascii="Wingdings" w:hAnsi="Wingdings" w:hint="default"/>
      </w:rPr>
    </w:lvl>
  </w:abstractNum>
  <w:abstractNum w:abstractNumId="1" w15:restartNumberingAfterBreak="0">
    <w:nsid w:val="3D87366E"/>
    <w:multiLevelType w:val="hybridMultilevel"/>
    <w:tmpl w:val="B194F878"/>
    <w:lvl w:ilvl="0" w:tplc="FF807F28">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07FA457"/>
    <w:multiLevelType w:val="hybridMultilevel"/>
    <w:tmpl w:val="B3D22A18"/>
    <w:lvl w:ilvl="0" w:tplc="360A9F1A">
      <w:start w:val="1"/>
      <w:numFmt w:val="bullet"/>
      <w:lvlText w:val=""/>
      <w:lvlJc w:val="left"/>
      <w:pPr>
        <w:ind w:left="720" w:hanging="360"/>
      </w:pPr>
      <w:rPr>
        <w:rFonts w:ascii="Symbol" w:hAnsi="Symbol" w:hint="default"/>
      </w:rPr>
    </w:lvl>
    <w:lvl w:ilvl="1" w:tplc="539631FA">
      <w:start w:val="1"/>
      <w:numFmt w:val="bullet"/>
      <w:lvlText w:val="o"/>
      <w:lvlJc w:val="left"/>
      <w:pPr>
        <w:ind w:left="1440" w:hanging="360"/>
      </w:pPr>
      <w:rPr>
        <w:rFonts w:ascii="Courier New" w:hAnsi="Courier New" w:hint="default"/>
      </w:rPr>
    </w:lvl>
    <w:lvl w:ilvl="2" w:tplc="9BF6D056">
      <w:start w:val="1"/>
      <w:numFmt w:val="bullet"/>
      <w:lvlText w:val=""/>
      <w:lvlJc w:val="left"/>
      <w:pPr>
        <w:ind w:left="2160" w:hanging="360"/>
      </w:pPr>
      <w:rPr>
        <w:rFonts w:ascii="Wingdings" w:hAnsi="Wingdings" w:hint="default"/>
      </w:rPr>
    </w:lvl>
    <w:lvl w:ilvl="3" w:tplc="2E0A8518">
      <w:start w:val="1"/>
      <w:numFmt w:val="bullet"/>
      <w:lvlText w:val=""/>
      <w:lvlJc w:val="left"/>
      <w:pPr>
        <w:ind w:left="2880" w:hanging="360"/>
      </w:pPr>
      <w:rPr>
        <w:rFonts w:ascii="Symbol" w:hAnsi="Symbol" w:hint="default"/>
      </w:rPr>
    </w:lvl>
    <w:lvl w:ilvl="4" w:tplc="93CCA5F8">
      <w:start w:val="1"/>
      <w:numFmt w:val="bullet"/>
      <w:lvlText w:val="o"/>
      <w:lvlJc w:val="left"/>
      <w:pPr>
        <w:ind w:left="3600" w:hanging="360"/>
      </w:pPr>
      <w:rPr>
        <w:rFonts w:ascii="Courier New" w:hAnsi="Courier New" w:hint="default"/>
      </w:rPr>
    </w:lvl>
    <w:lvl w:ilvl="5" w:tplc="8DDCC852">
      <w:start w:val="1"/>
      <w:numFmt w:val="bullet"/>
      <w:lvlText w:val=""/>
      <w:lvlJc w:val="left"/>
      <w:pPr>
        <w:ind w:left="4320" w:hanging="360"/>
      </w:pPr>
      <w:rPr>
        <w:rFonts w:ascii="Wingdings" w:hAnsi="Wingdings" w:hint="default"/>
      </w:rPr>
    </w:lvl>
    <w:lvl w:ilvl="6" w:tplc="7A0215A4">
      <w:start w:val="1"/>
      <w:numFmt w:val="bullet"/>
      <w:lvlText w:val=""/>
      <w:lvlJc w:val="left"/>
      <w:pPr>
        <w:ind w:left="5040" w:hanging="360"/>
      </w:pPr>
      <w:rPr>
        <w:rFonts w:ascii="Symbol" w:hAnsi="Symbol" w:hint="default"/>
      </w:rPr>
    </w:lvl>
    <w:lvl w:ilvl="7" w:tplc="B4F00150">
      <w:start w:val="1"/>
      <w:numFmt w:val="bullet"/>
      <w:lvlText w:val="o"/>
      <w:lvlJc w:val="left"/>
      <w:pPr>
        <w:ind w:left="5760" w:hanging="360"/>
      </w:pPr>
      <w:rPr>
        <w:rFonts w:ascii="Courier New" w:hAnsi="Courier New" w:hint="default"/>
      </w:rPr>
    </w:lvl>
    <w:lvl w:ilvl="8" w:tplc="90BA99B4">
      <w:start w:val="1"/>
      <w:numFmt w:val="bullet"/>
      <w:lvlText w:val=""/>
      <w:lvlJc w:val="left"/>
      <w:pPr>
        <w:ind w:left="6480" w:hanging="360"/>
      </w:pPr>
      <w:rPr>
        <w:rFonts w:ascii="Wingdings" w:hAnsi="Wingdings" w:hint="default"/>
      </w:rPr>
    </w:lvl>
  </w:abstractNum>
  <w:num w:numId="1" w16cid:durableId="1592161392">
    <w:abstractNumId w:val="2"/>
  </w:num>
  <w:num w:numId="2" w16cid:durableId="1462380886">
    <w:abstractNumId w:val="1"/>
  </w:num>
  <w:num w:numId="3" w16cid:durableId="28373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A0127"/>
    <w:rsid w:val="0025289C"/>
    <w:rsid w:val="003E4E7F"/>
    <w:rsid w:val="006E6ED3"/>
    <w:rsid w:val="009A01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A99D"/>
  <w15:chartTrackingRefBased/>
  <w15:docId w15:val="{0A152D66-4EDA-41F8-AD5F-CCD5FE74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127"/>
    <w:pPr>
      <w:spacing w:after="0" w:line="240" w:lineRule="auto"/>
    </w:pPr>
    <w:rPr>
      <w:rFonts w:ascii="Times New Roman" w:eastAsia="Times New Roman" w:hAnsi="Times New Roman" w:cs="Times New Roman"/>
      <w:kern w:val="0"/>
      <w:sz w:val="24"/>
      <w:szCs w:val="24"/>
      <w:lang w:eastAsia="sv-SE"/>
    </w:rPr>
  </w:style>
  <w:style w:type="paragraph" w:styleId="Rubrik1">
    <w:name w:val="heading 1"/>
    <w:basedOn w:val="Normal"/>
    <w:next w:val="Normal"/>
    <w:link w:val="Rubrik1Char"/>
    <w:uiPriority w:val="9"/>
    <w:qFormat/>
    <w:rsid w:val="009A01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9A01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9A0127"/>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9A0127"/>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9A0127"/>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9A0127"/>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A0127"/>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A0127"/>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A0127"/>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A0127"/>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9A0127"/>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9A0127"/>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9A0127"/>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9A0127"/>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9A012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A012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A012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A0127"/>
    <w:rPr>
      <w:rFonts w:eastAsiaTheme="majorEastAsia" w:cstheme="majorBidi"/>
      <w:color w:val="272727" w:themeColor="text1" w:themeTint="D8"/>
    </w:rPr>
  </w:style>
  <w:style w:type="paragraph" w:styleId="Rubrik">
    <w:name w:val="Title"/>
    <w:basedOn w:val="Normal"/>
    <w:next w:val="Normal"/>
    <w:link w:val="RubrikChar"/>
    <w:uiPriority w:val="10"/>
    <w:qFormat/>
    <w:rsid w:val="009A0127"/>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A012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A012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A012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A012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A0127"/>
    <w:rPr>
      <w:i/>
      <w:iCs/>
      <w:color w:val="404040" w:themeColor="text1" w:themeTint="BF"/>
    </w:rPr>
  </w:style>
  <w:style w:type="paragraph" w:styleId="Liststycke">
    <w:name w:val="List Paragraph"/>
    <w:basedOn w:val="Normal"/>
    <w:uiPriority w:val="34"/>
    <w:qFormat/>
    <w:rsid w:val="009A0127"/>
    <w:pPr>
      <w:ind w:left="720"/>
      <w:contextualSpacing/>
    </w:pPr>
  </w:style>
  <w:style w:type="character" w:styleId="Starkbetoning">
    <w:name w:val="Intense Emphasis"/>
    <w:basedOn w:val="Standardstycketeckensnitt"/>
    <w:uiPriority w:val="21"/>
    <w:qFormat/>
    <w:rsid w:val="009A0127"/>
    <w:rPr>
      <w:i/>
      <w:iCs/>
      <w:color w:val="2F5496" w:themeColor="accent1" w:themeShade="BF"/>
    </w:rPr>
  </w:style>
  <w:style w:type="paragraph" w:styleId="Starktcitat">
    <w:name w:val="Intense Quote"/>
    <w:basedOn w:val="Normal"/>
    <w:next w:val="Normal"/>
    <w:link w:val="StarktcitatChar"/>
    <w:uiPriority w:val="30"/>
    <w:qFormat/>
    <w:rsid w:val="009A0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9A0127"/>
    <w:rPr>
      <w:i/>
      <w:iCs/>
      <w:color w:val="2F5496" w:themeColor="accent1" w:themeShade="BF"/>
    </w:rPr>
  </w:style>
  <w:style w:type="character" w:styleId="Starkreferens">
    <w:name w:val="Intense Reference"/>
    <w:basedOn w:val="Standardstycketeckensnitt"/>
    <w:uiPriority w:val="32"/>
    <w:qFormat/>
    <w:rsid w:val="009A0127"/>
    <w:rPr>
      <w:b/>
      <w:bCs/>
      <w:smallCaps/>
      <w:color w:val="2F5496" w:themeColor="accent1" w:themeShade="BF"/>
      <w:spacing w:val="5"/>
    </w:rPr>
  </w:style>
  <w:style w:type="character" w:styleId="Hyperlnk">
    <w:name w:val="Hyperlink"/>
    <w:rsid w:val="009A01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skekommunerna.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1426</Words>
  <Characters>7559</Characters>
  <Application>Microsoft Office Word</Application>
  <DocSecurity>0</DocSecurity>
  <Lines>62</Lines>
  <Paragraphs>17</Paragraphs>
  <ScaleCrop>false</ScaleCrop>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Gustafsson</dc:creator>
  <cp:keywords/>
  <dc:description/>
  <cp:lastModifiedBy>Amanda Gustafsson</cp:lastModifiedBy>
  <cp:revision>1</cp:revision>
  <dcterms:created xsi:type="dcterms:W3CDTF">2024-12-17T07:41:00Z</dcterms:created>
  <dcterms:modified xsi:type="dcterms:W3CDTF">2024-12-17T07:43:00Z</dcterms:modified>
</cp:coreProperties>
</file>